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การขอหนังสือรับรองการเกิด ตามมาตรา 20/1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ประกาศสำนักทะเบียนกลางเรื่องหลักเกณฑ์เงื่อนไขและวิธีการในการของหนังสือรับรองการเกิดตามมาตรา 20/1 แห่งพระราชบัญญัติการทะเบียนราษฎรพ.ศ. 2534 ซึ่งแก้ไขเพิ่มเติมโดยพระราชบัญญัติการทะเบียนราษฎร (ฉบับที่ 2) พ.ศ. 2551</w:t>
        <w:br/>
        <w:t xml:space="preserve"/>
        <w:br/>
        <w:t xml:space="preserve">(1) 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60วัน</w:t>
        <w:br/>
        <w:t xml:space="preserve"/>
        <w:br/>
        <w:t xml:space="preserve">(2) 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90 วัน (ทั้งนี้การหารือต้องส่งให้สำนักทะเบียนกลางภายใน 30 วันนับแต่วันที่รับเรื่อง) โดยส่งผ่านสำนักทะเบียนจังหวัดเพื่อส่งให้สำนักทะเบียนกลางเพื่อตอบข้อหารือดังกล่าวต่อไป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ตรวจการตรวจสอบเอกสาร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การพิจารณานายทะเบียนตรวจสอบเอกสาร</w:t>
              <w:br/>
              <w:t xml:space="preserve">สอบสวนพยานบุคคลพยานแวดล้อมที่เกี่ยวข้อง</w:t>
              <w:br/>
              <w:t xml:space="preserve">เกี่ยวกับบิดามารดาสัญชาติของบิดามารดา</w:t>
              <w:br/>
              <w:t xml:space="preserve">ถึงสถานที่เกิดจำนวนพี่น้องร่วมบิดามารดา</w:t>
              <w:br/>
              <w:t xml:space="preserve">และทีอยู่ปัจจุบันและรวบรวมหลักฐานทั้งหมด</w:t>
              <w:br/>
              <w:t xml:space="preserve">พร้อมความเห็นเสนอให้นายอำเภอพิจารณา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นายอำเภอพิจารณาพยานหลักฐานแล้ว</w:t>
              <w:br/>
              <w:t xml:space="preserve">แจ้งผลการพิจารณาให้นายทะเบียนท้องถิ่นทราบ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นายทะเบียนท้องถิ่นพิจารณาดำเนินการ</w:t>
              <w:br/>
              <w:t xml:space="preserve">     และแจ้งผลการพิจารณา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 2 นิ้ว จำนวน 2 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 หรือสำเนาทะเบียนประวัติ เช่น ท.ร.38 , ท.ร. 38/1 , ท.ร.38 ก หรือ ท.ร.38 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หลักฐานที่แสดงว่าเกิดในราชอาณาจักร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(เช่น หลักฐานลงบัญชีทหารกองเกิน , ใบสำคัญประจำถิ่นที่อยู่ หรือใบสำคัญประจำตัวคนต่างด้าว เป็นต้น)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การขอหนังสือรับรองการเกิด ตามมาตรา 20/1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ประกาศสำนักทะเบียนกลางเรื่องหลักเกณฑ์เงื่อนไขและวิธีการในการของหนังสือรับรองการเกิดตามมาตรา 20/1 แห่งพระราชบัญญัติการทะเบียนราษฎร พ.ศ. 2534 ซึ่งแก้ไขเพิ่มเติมโดยพระราชบัญญัติการทะเบียนราษฎร (ฉบับที่ 2)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การขอหนังสือรับรองการเกิด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