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(สำเนาทะเบียนบ้านของผู้ประกอบพาณิชยกิจ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กรณีผู้ขอจดทะเบียนเป็นบุคคลธรรมดา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