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กรณีคนที่ไม่มีสัญชาติไทยต่อมาได้รับสัญชาติไทยตามกฎหมาย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คนไม่มีสัญชาติไทย ต่อมาได้รับสัญชาติไทยตามกฎหมายให้ยื่นคำร้องตามแบบพิมพ์ที่กำหนดต่อนายทะเบียนท้องที่ที่ผู้ร้องมีภูมิลำเนาอยู่ในปัจจุบัน</w:t>
        <w:br/>
        <w:t xml:space="preserve"/>
        <w:br/>
        <w:t xml:space="preserve"> กรณีผู้ร้องมีชื่อและรายการบุคคลในทะเบียนบ้าน (ท.ร.14) และเป็นบุคคลประเภทที่ 3, 4 หรือ5 และได้รับสัญชาติไทยโดยการแปลงสัญชาติ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ตรวจสอบความถูกต้องของหลักฐานเอกสาร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แก้ไขรายการสัญชาติและเลขประจำตัวประชาชน</w:t>
              <w:br/>
              <w:t xml:space="preserve">    ในทะเบียนบ้าน (ท.ร.14)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กรณีบุคคลดังกล่าวเป็นบุคคลประเภท 8 แก้ไขรายการ</w:t>
              <w:br/>
              <w:t xml:space="preserve">    สัญชาติในทะเบียนบ้าน (ท.ร.14)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ตรวจสอบความถูกต้องของหลักฐานเอกสาร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จำหน่ายชื่อและรายการบุคคลออกจากทะเบียนบ้าน (ท.ร.13) </w:t>
              <w:br/>
              <w:t xml:space="preserve">    หรือทะเบียนบ้านกลาง (ท.ร.13) แล้วแต่กรณี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เพิ่มชื่อและรายการบุคคลเข้าในทะเบียนบ้าน (ท.ร.14) </w:t>
              <w:br/>
              <w:t xml:space="preserve">    หรือในทะเบียนบ้านกลาง (ท.ร.14)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กำหนดเลขประจำตัวประชาชน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มอบสำเนาทะเบียนบ้าน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บัตรประจำตัวคนต่างด้าว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หนังสือสำคัญแปลงสัญชาติไทย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กรณีคนที่ไม่มีสัญชาติไทยต่อมาได้รับสัญชาติไทยตามกฎหมาย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กรณีคนได้รับสัญชาติไทยโดยการแปลงสัญชาติ ขอสัญชาติไทยตามสามีหรือขอกลับคืนสัญชาติไทย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