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ผู้เกิดในราชอาณาจักรไทย โดยบิดาและมารดาเป็นคนต่างด้าว ย่อมได้รับสัญชาติไทย ถ้าในขณะที่เกิดบิดาตามกฎหมายหรือบิดาซึ่งมิได้มีการสมรสกับมารดาหรือมารดาของผู้นั้นเป็น</w:t>
        <w:br/>
        <w:t xml:space="preserve"/>
        <w:br/>
        <w:t xml:space="preserve">1. ผู้ที่ได้รับการผ่อนผันให้พักอาศัยอยู่ในราชอาณาจักรไทยเป็นกรณีพิเศษเฉพาะราย</w:t>
        <w:br/>
        <w:t xml:space="preserve"/>
        <w:br/>
        <w:t xml:space="preserve">2. ผู้ที่ได้รับอนุญาตให้เข้ามาอยู่ในราชอาณาจักรไทยเพียงชั่วคราว หรือ</w:t>
        <w:br/>
        <w:t xml:space="preserve"/>
        <w:br/>
        <w:t xml:space="preserve">3. ผู้ที่เข้ามาอยู่ในราชอาณาจักรไทยโดยมิได้รับอนุญาตตามกฎหมายว่าด้วยคนเข้าเมือง</w:t>
        <w:br/>
        <w:t xml:space="preserve"/>
        <w:br/>
        <w:t xml:space="preserve">ในกรณีที่เห็นสมควร รัฐมนตรีจะพิจารณาและสั่งการเฉพาะรายหรือเป็นการทั่วไปให้บุคคลตามวรรคหนึ่งได้สัญชาติไทยก็ได้ ตามหลักเกณฑ์ที่คณะรัฐมนตรีกำหนด</w:t>
        <w:br/>
        <w:t xml:space="preserve"/>
        <w:br/>
        <w:t xml:space="preserve">ผู้เกิดในราชอาณาจักรไทยซึ่งไม่ได้สัญชาติไทยตามวรรคหนึ่งจะอยู่ในราชอาณาจักรไทยในฐานะใด ภายใต้เงื่อนไขใด ให้เป็นไปตามที่กำหนดในกฎกระทรวง ทั้งนี้ โดยคำนึงถึงความมั่นคงแห่งราชอาณาจักรและสิทธิมนุษยชนประกอบกัน ในระหว่างที่ยังไม่มีกฎกระทรวงดังกล่าว ให้ถือว่าผู้นั้นเข้ามาอยู่ในราชอาณาจักรไทยโดยไม่ได้รับอนุญาตตามกฎหมายว่าด้วยคนเข้าเมือง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สอบสวนผู้ร้องและเจ้าบ้าน</w:t>
              <w:br/>
              <w:t xml:space="preserve">3. ตรวจสอบใบสำคัญประจำตัวคนต่างด้าวให้ถูกต้อง</w:t>
              <w:br/>
              <w:t xml:space="preserve">4. ตรวจสอบรายการในฐานข้อมูลการทะเบียนราษฎร</w:t>
              <w:br/>
              <w:t xml:space="preserve">5. ออกคำร้อง(ท.ร.31) พร้อมสแกนจัดเก็บเอกสารอัตโนมัติ </w:t>
              <w:br/>
              <w:t xml:space="preserve">6. นายทะเบียนพิจารณาอนุญาต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เมื่อนายทะเบียนพิจารณาอนุญาตแล้ว   </w:t>
              <w:br/>
              <w:t xml:space="preserve">7. เพิ่มชื่อและรายการในทะเบียนบ้านฉบับเจ้าบ้าน </w:t>
              <w:br/>
              <w:t xml:space="preserve">8. กำหนดเลขประจำตัวประชาชน</w:t>
              <w:br/>
              <w:t xml:space="preserve">9. มอบสำเนาทะเบียนบ้าน บัตรประจำตัวประชาชนคืนผู้แจ้ง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บัตรประจำตัวคนต่างด้าว (ถ้ามี) 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สำนักงานตรวจคนเข้าเมือง (สตม.)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ใบอนุญาตให้มีถิ่นที่อยู่        </w:t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กรณีคนที่มีสัญชาติไทยโดยการเกิด โดยมีบิดาหรือมารดาคนใดคนหนึ่ง หรือบิดาและมารดาเป็นผู้ไม่มีสัญชาติไทย หรือบุคคลที่ได้สัญชาติไทยโดยมีคำพิพากษาหรือคำสั่งของศาลโดยถึงที่สุด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กรณีคนได้รับสัญชาติไทยตาม มาตรา 7 ทวิ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