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การรับแจ้งการย้ายปลายทาง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ผู้ย้ายที่อยู่จะเป็นผู้แจ้งการย้ายออกและย้ายเข้า โดยไปแจ้งต่อนายทะเบียนผู้รับแจ้งแห่งท้องที่ที่ไปอยู่ใหม่ภายใน 15 วันนับแต่วันย้ายออกก็ได้ โดยให้นำสำเนาทะเบียนบ้าน เจ้าบ้านที่เข้าไปอยู่ใหม่แสดงต่อนายทะเบียนผู้รับแจ้ง และเสียค่าธรรมเนียมการแจ้งย้ายปลายทาง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3. บันทึกรายการในระบบคอมพิวเตอร์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4. เพิ่มรายการในทะเบียนบ้าน เก็บค่าธรรมเนียม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5. มอบทะเบียนบ้าน บัตรประจำตัวประชาชนคืนผู้แจ้งและเจ้าบ้าน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บัตรประจำตัวประชาชนของผู้แจ้ง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บัตรประจำตัวประชาชนของเจ้าบ้าน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การรับแจ้งการย้ายปลายทาง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การรับแจ้งการย้ายปลายทาง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